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2023年浙江省青少年车辆模型锦标赛补充规则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赛事安排及公告: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1.2.10 如U12组报名人数不足以开赛，允许U12组运动员参加同项目U18组竞赛。如U18组人数不足以开赛，则该项U18组取消。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1.2.11 如项目人数少于10人（含），预赛减为1轮。如项目人数少于6人（含），电动项目决赛减为1轮，内燃机项目决赛时间减为15分钟。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1.4.2 本规则解释权属于竞赛组委会，未尽事宜另行公布。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电动项目：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2.2.2 个人预赛采用积分制进行排位。最好1轮积分决定车手预赛排位，只有1轮完成，则以该轮成绩决定车手预赛排位。如积分和相同，则根据最好一轮积分的成绩排位。积分及排位方法参考全国锦标赛规则。(足球类项目除外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2.2.6 预赛前10进入决赛，决赛3轮，根据三轮决赛中最好的两轮积分和作为决赛排名。如遇得分相同或减少轮次，计算方法如同预赛，成绩好者名次列前。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内燃机项目：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2.3.4 预赛前10进入决赛，决赛进行1轮，内燃机项目决赛时间20分钟。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2.6.12 公共助手违反2.4.3之规定且指出后拒不改正。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竞速赛单项技术标准：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3.5.2.5/3.5.4.6/3.5.8.3 赛前最大充电电压为8.40V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3.5.2.1/3.5.2.3 U12组重量限制：不小于1490克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3.5.2.2 独立悬挂、四轮驱动。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3.5.2.4 动力电机限使用05型级别无刷电机，KV值不限。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3.5.2.5 采用2S锂电池，赛前最大充电电压不超过8.40V。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3.5.2.6 禁止使用发泡和海绵胎，轮胎外不得有外部固体附着物。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3.5.2.8 U12组执行以下规则：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1)采用飞神“酷派”或“ET4”1/10电动房车。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2)电机采用原套装内型号，为05级别20T有刷电机。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3)采用原厂调速器。限使用简单功能两通道2.4G遥控器（不带液晶屏）。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4)原厂结构不得改变。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3.5.3.1 采用国产品牌套装车，原厂结构不得改动，前桥为塑胶材质。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3.5.3.2 车架不得使用原厂原车外零件，舵机及保护器品牌不限。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3.5.3.3 只允许使用后两轮驱动，单级传动，后悬挂只允许直轴扭腰设计。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3.5.3.4 采用2S锂电池，赛前最大充电电压不超过8.40V。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3.5.3.5 采用海绵轮胎，品牌不限。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3.5.3.6 赛车必须具有前翼和尾翼，风翼需注塑成型且不得使用聚碳酸酯材料。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3.5.3.7 U18组附加规则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1)传动齿轮品牌、齿数及模数不限。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2)动力电机采用05型21.5T固定机械进角（无可调后盖）有感无刷电机，KV值≤2100KV。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3)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28"/>
          <w:szCs w:val="28"/>
          <w:lang w:val="en-US" w:eastAsia="zh-CN"/>
        </w:rPr>
        <w:t>采用固定进角电子调速器或电子调速器开启零进角“闪灯模式”。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3.5.3.8 U12组附加规则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1)采用原厂套装内动力电池，赛前最大充电电压不超过8.40V。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2)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28"/>
          <w:szCs w:val="28"/>
          <w:lang w:val="en-US" w:eastAsia="zh-CN"/>
        </w:rPr>
        <w:t>必须使用原厂配套20T有刷电机、遥控器、电调及所有原车零件。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3)采用原厂模数64P动力齿轮，齿比为102：25。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3.5.4.7 U18组采用05型无刷电机，KV值不限；U12组采用05型13.5T固定机械进角（无可调后盖）有感无刷电机，KV值限3200KV。采用固定进角电子调速器或电子调速器开启零进角“闪灯模式”。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3.5.9.1 使用中天1/22电动拉力车（烈风），不得对结构进行改动。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3.5.9.2-3.5.9.5 电池、电动机、舵机、调速器、车壳、轮胎、遥控器、电池必须使用原厂相同型号的产品。采用锂聚合物电池，电池标称电压3.7V。电动机采用抽签发放。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3.5.10.1 车辆使用飞神1/18电动房车（FS73101/FS73102），不得对结构进行改动。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3.5.10.2-3.5.10.5 舵机、电动机、调速器、车壳、轮胎、遥控器、电池必须使用原厂相同型号的产品。采用镍氢电池，电池标称电压7.2V。电动机采用抽签发放。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3.5.11.1 车辆采用飞神1/18电动越野车（FS73201），不得对结构进行改动。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3.5.11.2-3.5.11.6 舵机、电动机、调速器、车壳、轮胎、遥控器、电池必须使用原厂相同型号的产品。采用镍氢电池，电池标称电压7.2V。电动机采用抽签发放。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trike w:val="0"/>
          <w:dstrike w:val="0"/>
          <w:color w:val="auto"/>
          <w:spacing w:val="0"/>
          <w:sz w:val="28"/>
          <w:szCs w:val="28"/>
          <w:lang w:val="en-US" w:eastAsia="zh-CN"/>
        </w:rPr>
        <w:t>3.5.12.1 采用中天“足坛勇士”。电池、电动机、舵机、调速器、车壳、轮胎、遥控器必须使用原厂相同型号的产品，且不得改动。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3.5.13.7.1 1/16遥控电动大轮车：采用飞神（FS73808 LI），电动机采用抽签发放。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3.5.13.7.2 电池、电动机、舵机、调速器、车壳、轮胎、遥控器必须使用原厂相同型号的产品，且不得改动。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3.5.14 其他规定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3.5.14.1 原厂配件不包含螺丝、螺母、垫片、轴承等标准件及车模通用零件。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3.5.14.2 1/22电动拉力车、1/18电动房车、1/18电动越野车、1/16电动大轮车团体赛所有接插件（插头等）都必须使用原厂接插件，且不得使用铝、钛、碳纤等轻量化通用件（原厂标准配置，非升级配置允许使用）。</w:t>
      </w:r>
    </w:p>
    <w:p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3.5.14.3 1/22电动拉力车、1/18电动房车、1/18电动越野车允许安装个人感应器接口。</w:t>
      </w:r>
    </w:p>
    <w:sectPr>
      <w:pgSz w:w="11906" w:h="16838"/>
      <w:pgMar w:top="187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zFjYTliZjFjNWJhYTFmODMyNWJiMjAwYTU4YTQifQ=="/>
  </w:docVars>
  <w:rsids>
    <w:rsidRoot w:val="17114181"/>
    <w:rsid w:val="171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2023-06-27T08:10:00Z</dcterms:created>
  <dc:creator>小白</dc:creator>
  <cp:lastModifiedBy>小白</cp:lastModifiedBy>
  <dcterms:modified xsi:type="dcterms:W3CDTF">2023-06-27T08:11:27Z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3F9BE9974D74403F9255C7BB2EDED0AB_11</vt:lpwstr>
  </property>
</Properties>
</file>