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spacing w:beforeLines="0" w:afterLines="0" w:line="400" w:lineRule="exact"/>
        <w:rPr>
          <w:rFonts w:hint="eastAsia" w:ascii="仿宋" w:hAnsi="仿宋" w:eastAsia="仿宋" w:cs="宋体"/>
          <w:kern w:val="0"/>
          <w:sz w:val="30"/>
          <w:szCs w:val="30"/>
        </w:rPr>
      </w:pPr>
    </w:p>
    <w:p>
      <w:pPr>
        <w:widowControl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2019年全国体育行业职业技能大赛</w:t>
      </w:r>
    </w:p>
    <w:p>
      <w:pPr>
        <w:widowControl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浙江省预选赛竞赛规程</w:t>
      </w:r>
    </w:p>
    <w:bookmarkEnd w:id="0"/>
    <w:p>
      <w:pPr>
        <w:widowControl/>
        <w:spacing w:line="560" w:lineRule="exact"/>
        <w:ind w:firstLine="602" w:firstLineChars="200"/>
        <w:rPr>
          <w:rFonts w:ascii="仿宋" w:hAnsi="仿宋" w:eastAsia="仿宋" w:cs="宋体"/>
          <w:b/>
          <w:kern w:val="0"/>
          <w:sz w:val="30"/>
          <w:szCs w:val="30"/>
        </w:rPr>
      </w:pPr>
    </w:p>
    <w:p>
      <w:pPr>
        <w:widowControl/>
        <w:spacing w:beforeLines="0" w:afterLines="0" w:line="600" w:lineRule="exact"/>
        <w:ind w:firstLine="640" w:firstLineChars="200"/>
        <w:rPr>
          <w:rFonts w:hint="eastAsia" w:ascii="黑体" w:hAnsi="黑体" w:eastAsia="黑体" w:cs="黑体"/>
          <w:spacing w:val="0"/>
          <w:kern w:val="21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pacing w:val="0"/>
          <w:kern w:val="21"/>
          <w:sz w:val="32"/>
          <w:szCs w:val="32"/>
          <w:shd w:val="clear" w:color="auto" w:fill="FFFFFF"/>
        </w:rPr>
        <w:t>一、竞赛项目</w:t>
      </w:r>
    </w:p>
    <w:p>
      <w:pPr>
        <w:widowControl/>
        <w:spacing w:beforeLines="0" w:afterLines="0"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  <w:t>比赛分为个人赛和团体赛，参加团体赛的选手必须参加个人赛。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个人赛分为复赛和总决赛，个人复赛总分前24名的参赛选手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  <w:t>进入个人总决赛；团体赛直接进行总决赛。</w:t>
      </w:r>
    </w:p>
    <w:p>
      <w:pPr>
        <w:spacing w:beforeLines="0" w:afterLines="0" w:line="600" w:lineRule="exact"/>
        <w:ind w:firstLine="643" w:firstLineChars="200"/>
        <w:rPr>
          <w:rFonts w:hint="eastAsia" w:ascii="仿宋_GB2312" w:hAnsi="仿宋_GB2312" w:eastAsia="仿宋_GB2312" w:cs="仿宋_GB2312"/>
          <w:b/>
          <w:spacing w:val="0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pacing w:val="0"/>
          <w:kern w:val="21"/>
          <w:sz w:val="32"/>
          <w:szCs w:val="32"/>
          <w:shd w:val="clear" w:color="auto" w:fill="FFFFFF"/>
        </w:rPr>
        <w:t>（一）健身运动指导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  <w:t>个人复赛分为岗位知识竞答和体能竞赛。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  <w:t>个人总决赛为运动计划设计及课程演示。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  <w:t>团体赛分为岗位知识竞答、团体体能竞赛和小团体课程演示。</w:t>
      </w:r>
    </w:p>
    <w:p>
      <w:pPr>
        <w:spacing w:beforeLines="0" w:afterLines="0" w:line="600" w:lineRule="exact"/>
        <w:ind w:firstLine="643" w:firstLineChars="200"/>
        <w:rPr>
          <w:rFonts w:hint="eastAsia" w:ascii="仿宋_GB2312" w:hAnsi="仿宋_GB2312" w:eastAsia="仿宋_GB2312" w:cs="仿宋_GB2312"/>
          <w:b/>
          <w:spacing w:val="0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pacing w:val="0"/>
          <w:kern w:val="21"/>
          <w:sz w:val="32"/>
          <w:szCs w:val="32"/>
          <w:shd w:val="clear" w:color="auto" w:fill="FFFFFF"/>
        </w:rPr>
        <w:t>（二）羽毛球技能指导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  <w:t>个人复赛分为岗位知识竞答、专项技术竞赛和综合能力竞赛。</w:t>
      </w:r>
    </w:p>
    <w:p>
      <w:pPr>
        <w:spacing w:beforeLines="0" w:afterLines="0" w:line="580" w:lineRule="exact"/>
        <w:ind w:firstLine="640" w:firstLineChars="200"/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  <w:t>个人总决赛分为专项技术竞赛和训练方案设计及展示竞赛。</w:t>
      </w:r>
    </w:p>
    <w:p>
      <w:pPr>
        <w:spacing w:beforeLines="0" w:afterLines="0" w:line="580" w:lineRule="exact"/>
        <w:ind w:firstLine="640" w:firstLineChars="200"/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  <w:t>团体赛分为团体专项技术竞赛和团体指导能力竞赛。</w:t>
      </w:r>
    </w:p>
    <w:p>
      <w:pPr>
        <w:spacing w:beforeLines="0" w:afterLines="0" w:line="580" w:lineRule="exact"/>
        <w:ind w:firstLine="640" w:firstLineChars="200"/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  <w:t>分别执行“健身运动指导”、“羽毛球技能指导”及“羽毛球运动”竞赛规则。</w:t>
      </w:r>
    </w:p>
    <w:p>
      <w:pPr>
        <w:widowControl w:val="0"/>
        <w:spacing w:beforeLines="0" w:afterLines="0" w:line="580" w:lineRule="exact"/>
        <w:ind w:firstLine="640" w:firstLineChars="200"/>
        <w:jc w:val="both"/>
        <w:rPr>
          <w:rFonts w:hint="eastAsia" w:ascii="黑体" w:hAnsi="黑体" w:eastAsia="黑体" w:cs="黑体"/>
          <w:b w:val="0"/>
          <w:bCs/>
          <w:spacing w:val="0"/>
          <w:kern w:val="21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spacing w:val="0"/>
          <w:kern w:val="21"/>
          <w:sz w:val="32"/>
          <w:szCs w:val="32"/>
          <w:shd w:val="clear" w:color="auto" w:fill="FFFFFF"/>
        </w:rPr>
        <w:t>二、裁判和仲裁</w:t>
      </w:r>
    </w:p>
    <w:p>
      <w:pPr>
        <w:widowControl w:val="0"/>
        <w:spacing w:beforeLines="0" w:afterLines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（一）仲裁委员和总裁判长、副总裁判长、主要裁判员由浙江省体育行业职业技能鉴定站选派。竞赛辅助人员由比赛承办方统一培训和选拔。</w:t>
      </w:r>
    </w:p>
    <w:p>
      <w:pPr>
        <w:widowControl/>
        <w:shd w:val="clear" w:color="auto" w:fill="FFFFFF"/>
        <w:spacing w:beforeLines="0" w:afterLines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（二）裁判员应严格执行大赛规则，按照大赛评分标准和细则进行评分，做到公平、公正、真实、准确。</w:t>
      </w:r>
    </w:p>
    <w:p>
      <w:pPr>
        <w:widowControl/>
        <w:shd w:val="clear" w:color="auto" w:fill="FFFFFF"/>
        <w:spacing w:beforeLines="0" w:afterLines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（三）代表队可申请仲裁的事项包括不符合大赛规则规定的设备、检测、评判以及工作人员的违规行为等。申请仲裁方式均须通过所在代表队领队，按照规定的时限以书面形式向仲裁委员会提出，由仲裁委员会进行裁决。</w:t>
      </w:r>
    </w:p>
    <w:p>
      <w:pPr>
        <w:widowControl/>
        <w:shd w:val="clear" w:color="auto" w:fill="FFFFFF"/>
        <w:spacing w:beforeLines="0" w:afterLines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（四）仲裁委员会的裁决为最终裁决，参赛选手不得因申诉或对处理意见不服而停止竞赛，否则按弃权处理。</w:t>
      </w:r>
    </w:p>
    <w:p>
      <w:pPr>
        <w:widowControl/>
        <w:spacing w:beforeLines="0" w:afterLines="0" w:line="600" w:lineRule="exact"/>
        <w:ind w:firstLine="640" w:firstLineChars="200"/>
        <w:jc w:val="both"/>
        <w:rPr>
          <w:rFonts w:hint="eastAsia" w:ascii="黑体" w:hAnsi="黑体" w:eastAsia="黑体" w:cs="黑体"/>
          <w:b w:val="0"/>
          <w:bCs/>
          <w:kern w:val="21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21"/>
          <w:sz w:val="32"/>
          <w:szCs w:val="32"/>
        </w:rPr>
        <w:t>三、其他</w:t>
      </w:r>
    </w:p>
    <w:p>
      <w:pPr>
        <w:widowControl/>
        <w:spacing w:beforeLines="0" w:afterLines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（一）比赛器材与装备</w:t>
      </w:r>
    </w:p>
    <w:p>
      <w:pPr>
        <w:widowControl/>
        <w:spacing w:beforeLines="0" w:afterLines="0"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比赛所需器材及装备由承办单位提供。如因器材或装备故障导致比赛中断，由总裁判长视情况处理。</w:t>
      </w:r>
    </w:p>
    <w:p>
      <w:pPr>
        <w:widowControl/>
        <w:spacing w:beforeLines="0" w:afterLines="0"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（二）保险</w:t>
      </w:r>
    </w:p>
    <w:p>
      <w:pPr>
        <w:widowControl/>
        <w:spacing w:beforeLines="0" w:afterLines="0"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参赛单位须自行办理人身意外伤害保险，报到时统一提交大会组委会。未办理者不得参加竞赛。</w:t>
      </w:r>
    </w:p>
    <w:p>
      <w:pPr>
        <w:widowControl/>
        <w:spacing w:beforeLines="0" w:afterLines="0"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（三）各参赛队交通、食宿费、报名费等自理。报名等其他相关事项另行通知。</w:t>
      </w:r>
    </w:p>
    <w:p>
      <w:pPr>
        <w:spacing w:beforeLines="0" w:afterLines="0" w:line="600" w:lineRule="exact"/>
        <w:ind w:firstLine="800" w:firstLineChars="25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21"/>
          <w:sz w:val="32"/>
          <w:szCs w:val="32"/>
        </w:rPr>
        <w:t>四、竞赛规程解释权归预赛组委会。后续大赛相关事宜由预赛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组委会另行发布。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大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E280B"/>
    <w:rsid w:val="469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/>
      <w:snapToGrid w:val="0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2019-07-09T07:46:00Z</dcterms:created>
  <dc:creator>信息中心</dc:creator>
  <cp:lastModifiedBy>信息中心</cp:lastModifiedBy>
  <dcterms:modified xsi:type="dcterms:W3CDTF">2019-07-09T07:48:07Z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