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体育赛事社会风险评估标准程序分类表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8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eastAsia="zh-CN"/>
              </w:rPr>
              <w:t>类别</w:t>
            </w:r>
          </w:p>
        </w:tc>
        <w:tc>
          <w:tcPr>
            <w:tcW w:w="8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eastAsia="zh-CN"/>
              </w:rPr>
              <w:t>体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eastAsia="zh-CN"/>
              </w:rPr>
              <w:t>育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eastAsia="zh-CN"/>
              </w:rPr>
              <w:t>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eastAsia="zh-CN"/>
              </w:rPr>
              <w:t>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5" w:hRule="atLeast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一类</w:t>
            </w:r>
          </w:p>
        </w:tc>
        <w:tc>
          <w:tcPr>
            <w:tcW w:w="8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参加人数（包括观众）在5000人以上的大型体育赛事活动；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参加人数超过1000人，且涉及山地越野、戈壁穿越、翼装飞行、超长距离跑等新兴高危体育赛事活动；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境外非政府机构组织举办的体育赛事活动；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4、有国际一线体育明星（世界排位前十）参加，影响力大的体育赛事活动；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Lines="0" w:afterLines="0" w:line="48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5、其他影响力大、存在较大风险的体育赛事活动。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4" w:hRule="atLeast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二类</w:t>
            </w:r>
          </w:p>
        </w:tc>
        <w:tc>
          <w:tcPr>
            <w:tcW w:w="8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参加人数（包括观众）在1000-5000人之间的大型体育赛事活动；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Lines="0" w:afterLines="0" w:line="48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参加人数虽不到1000人，但涉及山地越野、戈壁穿越、翼装飞行、超长距离跑等新兴高危体育赛事活动；</w:t>
            </w:r>
          </w:p>
          <w:p>
            <w:pPr>
              <w:spacing w:beforeLines="0" w:afterLines="0"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其他影响力较大，存在一定风险的体育赛事活动。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..ì.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D72B64"/>
    <w:multiLevelType w:val="singleLevel"/>
    <w:tmpl w:val="8FD72B6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EFE1747"/>
    <w:multiLevelType w:val="singleLevel"/>
    <w:tmpl w:val="EEFE174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A6DD2"/>
    <w:rsid w:val="37AA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..ì." w:hAnsi="..ì." w:eastAsia="..ì." w:cs="Times New Roman"/>
      <w:color w:val="000000"/>
      <w:sz w:val="24"/>
      <w:szCs w:val="22"/>
      <w:lang w:val="en-US" w:eastAsia="zh-CN" w:bidi="ar-SA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2022-09-14T02:54:00Z</dcterms:created>
  <dc:creator>001</dc:creator>
  <cp:lastModifiedBy>001</cp:lastModifiedBy>
  <dcterms:modified xsi:type="dcterms:W3CDTF">2022-09-14T02:55:17Z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033E622CCE3F4A34BC4F71833B727361</vt:lpwstr>
  </property>
</Properties>
</file>