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after="0"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浙江省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高水平</w:t>
      </w:r>
      <w:r>
        <w:rPr>
          <w:rFonts w:hint="eastAsia" w:ascii="宋体" w:hAnsi="宋体" w:eastAsia="宋体" w:cs="宋体"/>
          <w:b/>
          <w:sz w:val="32"/>
          <w:szCs w:val="32"/>
        </w:rPr>
        <w:t>体育训练基地场馆基本面积标准</w:t>
      </w:r>
    </w:p>
    <w:bookmarkEnd w:id="0"/>
    <w:tbl>
      <w:tblPr>
        <w:tblStyle w:val="24"/>
        <w:tblW w:w="8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65"/>
        <w:gridCol w:w="1404"/>
        <w:gridCol w:w="225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主体场地场馆性质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基本面积标准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附属体能训练场所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高尔夫球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标准18洞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蹦床技巧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4个场地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拳击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武术套路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空手道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皮划艇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帆船、帆板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场地自行车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BMX小轮车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击剑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盛装舞步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障碍赛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室内或室外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冬季项目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冬季项目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不少于一块标准比赛场地面积加一块基本训练场地面积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综合基地</w:t>
            </w:r>
          </w:p>
        </w:tc>
        <w:tc>
          <w:tcPr>
            <w:tcW w:w="3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所含项目基本面积叠加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体育训练场所面积可兼用</w:t>
            </w:r>
          </w:p>
        </w:tc>
      </w:tr>
    </w:tbl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after="0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after="0"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浙江省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高水平</w:t>
      </w:r>
      <w:r>
        <w:rPr>
          <w:rFonts w:hint="eastAsia" w:ascii="宋体" w:hAnsi="宋体" w:eastAsia="宋体" w:cs="宋体"/>
          <w:b/>
          <w:sz w:val="32"/>
          <w:szCs w:val="32"/>
        </w:rPr>
        <w:t>体育训练基地考核实施细则和标准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基本条件（表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40</w:t>
      </w:r>
      <w:r>
        <w:rPr>
          <w:rFonts w:hint="eastAsia" w:ascii="宋体" w:hAnsi="宋体" w:eastAsia="宋体"/>
          <w:sz w:val="28"/>
          <w:szCs w:val="28"/>
        </w:rPr>
        <w:t>分）</w:t>
      </w:r>
    </w:p>
    <w:tbl>
      <w:tblPr>
        <w:tblStyle w:val="2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3119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核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练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竞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赛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施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能保证</w:t>
            </w:r>
            <w:r>
              <w:rPr>
                <w:rFonts w:hint="eastAsia" w:ascii="宋体" w:hAnsi="宋体"/>
                <w:b/>
                <w:szCs w:val="21"/>
              </w:rPr>
              <w:t>专项训练</w:t>
            </w:r>
            <w:r>
              <w:rPr>
                <w:rFonts w:hint="eastAsia" w:ascii="宋体" w:hAnsi="宋体" w:eastAsia="宋体"/>
                <w:szCs w:val="24"/>
              </w:rPr>
              <w:t>所需的、符合标准的、设施齐全并安全完好的全天候训练场馆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bottom"/>
          </w:tcPr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4-7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面积、高度、通风、照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明等条件有不符合</w:t>
            </w:r>
            <w:r>
              <w:rPr>
                <w:rFonts w:ascii="宋体" w:hAnsi="宋体" w:eastAsia="宋体"/>
                <w:szCs w:val="24"/>
              </w:rPr>
              <w:t xml:space="preserve"> 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能保证专项</w:t>
            </w:r>
            <w:r>
              <w:rPr>
                <w:rFonts w:hint="eastAsia" w:ascii="宋体" w:hAnsi="宋体"/>
                <w:b/>
                <w:szCs w:val="21"/>
              </w:rPr>
              <w:t>体能训练</w:t>
            </w:r>
            <w:r>
              <w:rPr>
                <w:rFonts w:hint="eastAsia" w:ascii="宋体" w:hAnsi="宋体" w:eastAsia="宋体"/>
                <w:szCs w:val="24"/>
              </w:rPr>
              <w:t>的室内建筑设施设备并安全完好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4-7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部分条件不符合</w:t>
            </w:r>
            <w:r>
              <w:rPr>
                <w:rFonts w:ascii="宋体" w:hAnsi="宋体" w:eastAsia="宋体"/>
                <w:szCs w:val="24"/>
              </w:rPr>
              <w:t xml:space="preserve">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有供专项运动训练、竞赛、体能、技能检测所必备的</w:t>
            </w:r>
            <w:r>
              <w:rPr>
                <w:rFonts w:hint="eastAsia" w:ascii="宋体" w:hAnsi="宋体"/>
                <w:b/>
                <w:szCs w:val="21"/>
              </w:rPr>
              <w:t>运动器材</w:t>
            </w:r>
            <w:r>
              <w:rPr>
                <w:rFonts w:hint="eastAsia" w:ascii="宋体" w:hAnsi="宋体" w:eastAsia="宋体"/>
                <w:szCs w:val="24"/>
              </w:rPr>
              <w:t>和安全保护设备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科研医疗监控设施设备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有医疗、检测室和运动创伤急救、常见创伤疾病治疗及运动训练技能状态恢复所必备的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设施实物及相关人员的上岗证明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有能提供全套形态测量仪器、心血管功能测量仪器、血乳酸测试仪器、血尿素测试仪器等相应的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设施实物或提供服务单位的合同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务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施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能提供配套齐全的可供运动员租用的公寓、餐厅、桑拿浴室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3-4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设施不全</w:t>
            </w:r>
            <w:r>
              <w:rPr>
                <w:rFonts w:ascii="宋体" w:hAnsi="宋体" w:eastAsia="宋体"/>
                <w:szCs w:val="24"/>
              </w:rPr>
              <w:t xml:space="preserve">        1-2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能提供现代办公、通讯、车辆和文化教学、娱乐的设施设备等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设施实物或提供服务单位的合同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设施不全</w:t>
            </w:r>
            <w:r>
              <w:rPr>
                <w:rFonts w:ascii="宋体" w:hAnsi="宋体" w:eastAsia="宋体"/>
                <w:szCs w:val="24"/>
              </w:rPr>
              <w:t xml:space="preserve">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管理工作（表</w:t>
      </w: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ascii="宋体" w:hAnsi="宋体" w:eastAsia="宋体"/>
          <w:sz w:val="32"/>
          <w:szCs w:val="32"/>
        </w:rPr>
        <w:t>17</w:t>
      </w:r>
      <w:r>
        <w:rPr>
          <w:rFonts w:hint="eastAsia" w:ascii="宋体" w:hAnsi="宋体" w:eastAsia="宋体"/>
          <w:sz w:val="32"/>
          <w:szCs w:val="32"/>
        </w:rPr>
        <w:t>分）</w:t>
      </w:r>
    </w:p>
    <w:tbl>
      <w:tblPr>
        <w:tblStyle w:val="24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326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估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有明确的总体目标与部门的分解目标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有年度工作计划，安排好全年的训练、竞赛组织接待工作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据：</w:t>
            </w:r>
            <w:r>
              <w:rPr>
                <w:rFonts w:hint="eastAsia" w:ascii="宋体" w:hAnsi="宋体" w:eastAsia="宋体"/>
                <w:szCs w:val="24"/>
              </w:rPr>
              <w:t>年度计划与有关文件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度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</w:tcPr>
          <w:p>
            <w:pPr>
              <w:spacing w:line="36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有制定各种规章制定（包括行政、财务、后勤、经营、开发、场馆、设备、器材的管理保养等）以及建立符合法律规范的合同管理制度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实行聘任制，执行岗位责任制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有关文件及实施文本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有年度考评及检查制度，并根据考评结果进行奖惩的制度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有科学规范的训练管理措施及相关的资料档案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有关文件和资料、档案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有年度专业人员培训计划、组织实施培训活动，考评评定培训结果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有关文件及考核评定资料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对基地的各项设施设备经常进行养护维修，保持各项设施设备完好，为训练竞赛提供优质服务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养护维修记录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设施设备养护好，但为训练、竞赛服务一般</w:t>
            </w:r>
            <w:r>
              <w:rPr>
                <w:rFonts w:ascii="宋体" w:hAnsi="宋体" w:eastAsia="宋体"/>
                <w:szCs w:val="24"/>
              </w:rPr>
              <w:t xml:space="preserve">   1-2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按需提供优质的公共服务及有针对性的专业服务与特邀服务</w:t>
            </w:r>
          </w:p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提供专家讲课、学术研讨、培训所需场地器材，娱乐影视的生活服务，理疗、按摩、水浴、药浴等康复服务的证据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能提供两项服务的</w:t>
            </w:r>
            <w:r>
              <w:rPr>
                <w:rFonts w:ascii="宋体" w:hAnsi="宋体" w:eastAsia="宋体"/>
                <w:szCs w:val="24"/>
              </w:rPr>
              <w:t xml:space="preserve"> 1.5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能提供一项服务的</w:t>
            </w:r>
            <w:r>
              <w:rPr>
                <w:rFonts w:ascii="宋体" w:hAnsi="宋体" w:eastAsia="宋体"/>
                <w:szCs w:val="24"/>
              </w:rPr>
              <w:t xml:space="preserve">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质量效益（表</w:t>
      </w: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：22分）</w:t>
      </w:r>
    </w:p>
    <w:tbl>
      <w:tblPr>
        <w:tblStyle w:val="2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3118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估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11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907" w:type="dxa"/>
            <w:vAlign w:val="center"/>
          </w:tcPr>
          <w:p>
            <w:pPr>
              <w:spacing w:line="3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使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率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16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两年度累计接待省内运动队训练、竞赛任务：布局基地达到</w:t>
            </w:r>
            <w:r>
              <w:rPr>
                <w:rFonts w:ascii="宋体" w:hAnsi="宋体" w:eastAsia="宋体"/>
                <w:szCs w:val="24"/>
              </w:rPr>
              <w:t>50</w:t>
            </w:r>
            <w:r>
              <w:rPr>
                <w:rFonts w:hint="eastAsia" w:ascii="宋体" w:hAnsi="宋体" w:eastAsia="宋体"/>
                <w:szCs w:val="24"/>
              </w:rPr>
              <w:t>天以上，其他基地达到</w:t>
            </w:r>
            <w:r>
              <w:rPr>
                <w:rFonts w:ascii="宋体" w:hAnsi="宋体" w:eastAsia="宋体"/>
                <w:szCs w:val="24"/>
              </w:rPr>
              <w:t>35</w:t>
            </w:r>
            <w:r>
              <w:rPr>
                <w:rFonts w:hint="eastAsia" w:ascii="宋体" w:hAnsi="宋体" w:eastAsia="宋体"/>
                <w:szCs w:val="24"/>
              </w:rPr>
              <w:t>天以上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年度任务统计记录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 10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ind w:left="1980" w:hanging="1980" w:hangingChars="9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70%</w:t>
            </w:r>
            <w:r>
              <w:rPr>
                <w:rFonts w:hint="eastAsia" w:ascii="宋体" w:hAnsi="宋体" w:eastAsia="宋体"/>
                <w:szCs w:val="24"/>
              </w:rPr>
              <w:t xml:space="preserve">以上 </w:t>
            </w:r>
            <w:r>
              <w:rPr>
                <w:rFonts w:ascii="宋体" w:hAnsi="宋体" w:eastAsia="宋体"/>
                <w:szCs w:val="24"/>
              </w:rPr>
              <w:t xml:space="preserve">   6-9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ind w:left="1870" w:hanging="1870" w:hangingChars="85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50%</w:t>
            </w:r>
            <w:r>
              <w:rPr>
                <w:rFonts w:hint="eastAsia" w:ascii="宋体" w:hAnsi="宋体" w:eastAsia="宋体"/>
                <w:szCs w:val="24"/>
              </w:rPr>
              <w:t xml:space="preserve">以上 </w:t>
            </w:r>
            <w:r>
              <w:rPr>
                <w:rFonts w:ascii="宋体" w:hAnsi="宋体" w:eastAsia="宋体"/>
                <w:szCs w:val="24"/>
              </w:rPr>
              <w:t xml:space="preserve">   4-5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4.49%</w:t>
            </w:r>
            <w:r>
              <w:rPr>
                <w:rFonts w:hint="eastAsia" w:ascii="宋体" w:hAnsi="宋体" w:eastAsia="宋体"/>
                <w:szCs w:val="24"/>
              </w:rPr>
              <w:t>以下</w:t>
            </w:r>
            <w:r>
              <w:rPr>
                <w:rFonts w:ascii="宋体" w:hAnsi="宋体" w:eastAsia="宋体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0-3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注：特殊性质的基地采取专家评议定分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每年场馆累计对外开放：省局布局基地达到</w:t>
            </w:r>
            <w:r>
              <w:rPr>
                <w:rFonts w:ascii="宋体" w:hAnsi="宋体" w:eastAsia="宋体"/>
                <w:szCs w:val="24"/>
              </w:rPr>
              <w:t>90</w:t>
            </w:r>
            <w:r>
              <w:rPr>
                <w:rFonts w:hint="eastAsia" w:ascii="宋体" w:hAnsi="宋体" w:eastAsia="宋体"/>
                <w:szCs w:val="24"/>
              </w:rPr>
              <w:t>天以上，省局命名基地达到</w:t>
            </w:r>
            <w:r>
              <w:rPr>
                <w:rFonts w:ascii="宋体" w:hAnsi="宋体" w:eastAsia="宋体"/>
                <w:szCs w:val="24"/>
              </w:rPr>
              <w:t>120</w:t>
            </w:r>
            <w:r>
              <w:rPr>
                <w:rFonts w:hint="eastAsia" w:ascii="宋体" w:hAnsi="宋体" w:eastAsia="宋体"/>
                <w:szCs w:val="24"/>
              </w:rPr>
              <w:t>天以上或者承办社会青少年培训</w:t>
            </w:r>
            <w:r>
              <w:rPr>
                <w:rFonts w:ascii="宋体" w:hAnsi="宋体" w:eastAsia="宋体"/>
                <w:szCs w:val="24"/>
              </w:rPr>
              <w:t>20</w:t>
            </w:r>
            <w:r>
              <w:rPr>
                <w:rFonts w:hint="eastAsia" w:ascii="宋体" w:hAnsi="宋体" w:eastAsia="宋体"/>
                <w:szCs w:val="24"/>
              </w:rPr>
              <w:t>天以上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年度对外开放记录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 xml:space="preserve">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ind w:left="1760" w:hanging="1760" w:hangingChars="8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70%</w:t>
            </w:r>
            <w:r>
              <w:rPr>
                <w:rFonts w:hint="eastAsia" w:ascii="宋体" w:hAnsi="宋体" w:eastAsia="宋体"/>
                <w:szCs w:val="24"/>
              </w:rPr>
              <w:t>以上</w:t>
            </w:r>
            <w:r>
              <w:rPr>
                <w:rFonts w:ascii="宋体" w:hAnsi="宋体" w:eastAsia="宋体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>4-5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ind w:left="1760" w:hanging="1760" w:hangingChars="8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50%</w:t>
            </w:r>
            <w:r>
              <w:rPr>
                <w:rFonts w:hint="eastAsia" w:ascii="宋体" w:hAnsi="宋体" w:eastAsia="宋体"/>
                <w:szCs w:val="24"/>
              </w:rPr>
              <w:t>以上</w:t>
            </w:r>
            <w:r>
              <w:rPr>
                <w:rFonts w:ascii="宋体" w:hAnsi="宋体" w:eastAsia="宋体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4.49%</w:t>
            </w:r>
            <w:r>
              <w:rPr>
                <w:rFonts w:hint="eastAsia" w:ascii="宋体" w:hAnsi="宋体" w:eastAsia="宋体"/>
                <w:szCs w:val="24"/>
              </w:rPr>
              <w:t>以下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0-2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注：特殊性质的基地采取专家评议定分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务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量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27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绿化、卫生、治安、环境治理（噪声、空气、水）符合标准要求</w:t>
            </w:r>
          </w:p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当地政府或营业主管部门的合格评定证明文件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组织转训运动队进行思想道德、文化教育及文化娱乐活动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有关文件、活动组织记录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：转训</w:t>
            </w:r>
            <w:r>
              <w:rPr>
                <w:rFonts w:hint="eastAsia" w:ascii="宋体" w:hAnsi="宋体" w:eastAsia="宋体"/>
                <w:szCs w:val="24"/>
              </w:rPr>
              <w:t>运动队对场馆、食宿条件，器材设施、管理接待水平，训练监控与恢复等方面的综合评价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评价表（表</w:t>
            </w:r>
            <w:r>
              <w:rPr>
                <w:rFonts w:ascii="宋体" w:hAnsi="宋体" w:eastAsia="宋体"/>
                <w:szCs w:val="24"/>
              </w:rPr>
              <w:t>3-2</w:t>
            </w:r>
            <w:r>
              <w:rPr>
                <w:rFonts w:hint="eastAsia" w:ascii="宋体" w:hAnsi="宋体" w:eastAsia="宋体"/>
                <w:szCs w:val="24"/>
              </w:rPr>
              <w:t>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注：按省内运动队的评价分值平均数计算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省内转训队伍评价表（表4：</w:t>
      </w:r>
      <w:r>
        <w:rPr>
          <w:rFonts w:ascii="宋体" w:hAnsi="宋体" w:eastAsia="宋体"/>
          <w:sz w:val="32"/>
          <w:szCs w:val="32"/>
        </w:rPr>
        <w:t>21</w:t>
      </w:r>
      <w:r>
        <w:rPr>
          <w:rFonts w:hint="eastAsia" w:ascii="宋体" w:hAnsi="宋体" w:eastAsia="宋体"/>
          <w:sz w:val="32"/>
          <w:szCs w:val="32"/>
        </w:rPr>
        <w:t>分）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填表运动队：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评价训练基地名称：</w:t>
      </w:r>
    </w:p>
    <w:tbl>
      <w:tblPr>
        <w:tblStyle w:val="24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427"/>
        <w:gridCol w:w="1804"/>
        <w:gridCol w:w="328"/>
        <w:gridCol w:w="1231"/>
        <w:gridCol w:w="901"/>
        <w:gridCol w:w="65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符合标准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专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3/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基本符合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专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2/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不符合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场馆条件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专项训练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身体训练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监控与恢复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训练监控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长期进行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有时进行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没有进行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恢复手段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效果良好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效果一般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没有采用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良好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一般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差</w:t>
            </w: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管理接待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管理水平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训练竞赛安排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服务态度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良好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2.5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一般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1.5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差</w:t>
            </w: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食宿条件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住洗条件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伙食情况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总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总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计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得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注：</w:t>
      </w:r>
      <w:r>
        <w:rPr>
          <w:rFonts w:ascii="宋体" w:hAnsi="宋体" w:eastAsia="宋体"/>
          <w:szCs w:val="24"/>
        </w:rPr>
        <w:t>1</w:t>
      </w:r>
      <w:r>
        <w:rPr>
          <w:rFonts w:hint="eastAsia" w:ascii="宋体" w:hAnsi="宋体" w:eastAsia="宋体"/>
          <w:szCs w:val="24"/>
        </w:rPr>
        <w:t>、符合标准：国际竞赛要求；</w:t>
      </w:r>
      <w:r>
        <w:rPr>
          <w:rFonts w:ascii="宋体" w:hAnsi="宋体" w:eastAsia="宋体"/>
          <w:szCs w:val="24"/>
        </w:rPr>
        <w:t xml:space="preserve">  2</w:t>
      </w:r>
      <w:r>
        <w:rPr>
          <w:rFonts w:hint="eastAsia" w:ascii="宋体" w:hAnsi="宋体" w:eastAsia="宋体"/>
          <w:szCs w:val="24"/>
        </w:rPr>
        <w:t>、基本符合：国内竞赛和训练要求。</w:t>
      </w:r>
    </w:p>
    <w:p>
      <w:pPr>
        <w:spacing w:line="30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省内转训队伍领队、教练员签字：</w:t>
      </w:r>
      <w:r>
        <w:rPr>
          <w:rFonts w:ascii="宋体" w:hAnsi="宋体" w:eastAsia="宋体"/>
          <w:szCs w:val="24"/>
        </w:rPr>
        <w:t xml:space="preserve">                </w:t>
      </w:r>
    </w:p>
    <w:p>
      <w:pPr>
        <w:spacing w:line="300" w:lineRule="exact"/>
        <w:ind w:firstLine="4950" w:firstLineChars="225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szCs w:val="24"/>
        </w:rPr>
        <w:t>年</w:t>
      </w:r>
      <w:r>
        <w:rPr>
          <w:rFonts w:ascii="宋体" w:hAnsi="宋体" w:eastAsia="宋体"/>
          <w:szCs w:val="24"/>
        </w:rPr>
        <w:t xml:space="preserve">    </w:t>
      </w:r>
      <w:r>
        <w:rPr>
          <w:rFonts w:hint="eastAsia" w:ascii="宋体" w:hAnsi="宋体" w:eastAsia="宋体"/>
          <w:szCs w:val="24"/>
        </w:rPr>
        <w:t>月</w:t>
      </w:r>
      <w:r>
        <w:rPr>
          <w:rFonts w:ascii="宋体" w:hAnsi="宋体" w:eastAsia="宋体"/>
          <w:szCs w:val="24"/>
        </w:rPr>
        <w:t xml:space="preserve">    </w:t>
      </w:r>
      <w:r>
        <w:rPr>
          <w:rFonts w:hint="eastAsia" w:ascii="宋体" w:hAnsi="宋体" w:eastAsia="宋体"/>
          <w:szCs w:val="24"/>
        </w:rPr>
        <w:t>日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重大贡献加分和违纪减分（表5）</w:t>
      </w:r>
    </w:p>
    <w:tbl>
      <w:tblPr>
        <w:tblStyle w:val="2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19"/>
        <w:gridCol w:w="2361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 估 内 容 和 依 据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 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重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大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贡</w:t>
            </w:r>
          </w:p>
          <w:p>
            <w:pPr>
              <w:spacing w:line="300" w:lineRule="exact"/>
              <w:jc w:val="both"/>
              <w:rPr>
                <w:rFonts w:ascii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献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总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加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分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不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超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过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ascii="宋体" w:hAnsi="宋体"/>
                <w:b/>
                <w:kern w:val="2"/>
                <w:szCs w:val="21"/>
              </w:rPr>
              <w:t>10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分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内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容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评估前一个全运周期（四年）计算，运动员达到在基地训练的年使用率时间要求后，按人项计算，只取最高限记一次分值：</w:t>
            </w:r>
          </w:p>
          <w:p>
            <w:pPr>
              <w:spacing w:line="2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A.</w:t>
            </w:r>
            <w:r>
              <w:rPr>
                <w:rFonts w:hint="eastAsia" w:ascii="宋体" w:hAnsi="宋体" w:eastAsia="宋体"/>
                <w:szCs w:val="24"/>
              </w:rPr>
              <w:t>奥运会取得前六名</w:t>
            </w:r>
          </w:p>
          <w:p>
            <w:pPr>
              <w:spacing w:line="2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B.</w:t>
            </w:r>
            <w:r>
              <w:rPr>
                <w:rFonts w:hint="eastAsia" w:ascii="宋体" w:hAnsi="宋体" w:eastAsia="宋体"/>
                <w:szCs w:val="24"/>
              </w:rPr>
              <w:t>世锦赛、世界杯前三名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C.</w:t>
            </w:r>
            <w:r>
              <w:rPr>
                <w:rFonts w:hint="eastAsia" w:ascii="宋体" w:hAnsi="宋体" w:eastAsia="宋体"/>
                <w:szCs w:val="24"/>
              </w:rPr>
              <w:t>全运会、亚运会取得冠军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right="11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A.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依次</w:t>
            </w:r>
            <w:r>
              <w:rPr>
                <w:rFonts w:ascii="宋体" w:hAnsi="宋体" w:eastAsia="宋体"/>
                <w:szCs w:val="24"/>
              </w:rPr>
              <w:t>6——1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20" w:lineRule="exact"/>
              <w:ind w:right="22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 xml:space="preserve">B.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 xml:space="preserve"> 3</w:t>
            </w:r>
            <w:r>
              <w:rPr>
                <w:rFonts w:hint="eastAsia" w:ascii="宋体" w:hAnsi="宋体" w:eastAsia="宋体"/>
                <w:szCs w:val="24"/>
              </w:rPr>
              <w:t>、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、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 xml:space="preserve">C.  </w:t>
            </w:r>
            <w:r>
              <w:rPr>
                <w:rFonts w:hint="eastAsia" w:ascii="宋体" w:hAnsi="宋体" w:eastAsia="宋体"/>
                <w:szCs w:val="24"/>
              </w:rPr>
              <w:t xml:space="preserve">    </w:t>
            </w:r>
            <w:r>
              <w:rPr>
                <w:rFonts w:ascii="宋体" w:hAnsi="宋体" w:eastAsia="宋体"/>
                <w:szCs w:val="24"/>
              </w:rPr>
              <w:t xml:space="preserve">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34" w:type="dxa"/>
            <w:vMerge w:val="continue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基地或职工获得市县级以上奖励（按单位或人计算），有一个给予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依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据</w:t>
            </w:r>
            <w:r>
              <w:rPr>
                <w:rFonts w:hint="eastAsia" w:ascii="宋体" w:hAnsi="宋体"/>
                <w:kern w:val="2"/>
                <w:szCs w:val="21"/>
              </w:rPr>
              <w:t>：获奖证明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ind w:firstLine="88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534" w:type="dxa"/>
            <w:vMerge w:val="continue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内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容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基地或职工课题论文（布局基地在省一级刊物，转训基地在省二级及以上刊物发表），管理创新、技术革新成果（有成果鉴定，在全省会议上发表），（按单位或人计算），有一个给予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依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据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有关刊物、成果鉴定、会议发表的有关证明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ind w:firstLine="88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4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违纪总减分不超过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基地或职工在评估前一个周期犯有：责任事故、环境污染、违法行为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一般性质   扣1-2分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严重性质   扣3-5分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特大性质取消考核资格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eastAsia="宋体"/>
          <w:b/>
          <w:kern w:val="2"/>
          <w:szCs w:val="21"/>
        </w:rPr>
      </w:pPr>
      <w:r>
        <w:rPr>
          <w:rFonts w:hint="eastAsia" w:ascii="宋体" w:hAnsi="宋体"/>
          <w:b/>
          <w:kern w:val="2"/>
          <w:szCs w:val="21"/>
        </w:rPr>
        <w:t>考核等级认定：</w:t>
      </w:r>
    </w:p>
    <w:p>
      <w:pPr>
        <w:spacing w:line="360" w:lineRule="auto"/>
        <w:ind w:firstLine="44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考核等级分为三个等级：优秀、合格和不合格。评分</w:t>
      </w:r>
      <w:r>
        <w:rPr>
          <w:rFonts w:ascii="宋体" w:hAnsi="宋体" w:eastAsia="宋体"/>
          <w:szCs w:val="24"/>
        </w:rPr>
        <w:t>90</w:t>
      </w:r>
      <w:r>
        <w:rPr>
          <w:rFonts w:hint="eastAsia" w:ascii="宋体" w:hAnsi="宋体" w:eastAsia="宋体"/>
          <w:szCs w:val="24"/>
        </w:rPr>
        <w:t>分（含）以上为优秀，评分</w:t>
      </w:r>
      <w:r>
        <w:rPr>
          <w:rFonts w:ascii="宋体" w:hAnsi="宋体" w:eastAsia="宋体"/>
          <w:szCs w:val="24"/>
        </w:rPr>
        <w:t>60</w:t>
      </w:r>
      <w:r>
        <w:rPr>
          <w:rFonts w:hint="eastAsia" w:ascii="宋体" w:hAnsi="宋体" w:eastAsia="宋体"/>
          <w:szCs w:val="24"/>
        </w:rPr>
        <w:t>分（不含）以下为不合格。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04.6pt;margin-top:-19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9qTW1gAAAAsBAAAPAAAAAAAAAAEAIAAAACIAAABkcnMvZG93bnJldi54bWxQSwEC&#10;FAAUAAAACACHTuJABJwOn70BAABi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E5ohl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B9"/>
    <w:rsid w:val="000008B0"/>
    <w:rsid w:val="00030ACD"/>
    <w:rsid w:val="000315C9"/>
    <w:rsid w:val="00037375"/>
    <w:rsid w:val="000455D9"/>
    <w:rsid w:val="00045974"/>
    <w:rsid w:val="0006734C"/>
    <w:rsid w:val="00096C90"/>
    <w:rsid w:val="0009733A"/>
    <w:rsid w:val="000A27D8"/>
    <w:rsid w:val="000A3F58"/>
    <w:rsid w:val="000A4CCE"/>
    <w:rsid w:val="000C235F"/>
    <w:rsid w:val="000C549F"/>
    <w:rsid w:val="000C70B8"/>
    <w:rsid w:val="000C7655"/>
    <w:rsid w:val="000D0DD5"/>
    <w:rsid w:val="000D4F33"/>
    <w:rsid w:val="000E2D25"/>
    <w:rsid w:val="000F0FEC"/>
    <w:rsid w:val="000F19A6"/>
    <w:rsid w:val="000F33EA"/>
    <w:rsid w:val="00102B43"/>
    <w:rsid w:val="00105568"/>
    <w:rsid w:val="001260A8"/>
    <w:rsid w:val="00144505"/>
    <w:rsid w:val="00144A46"/>
    <w:rsid w:val="001459C3"/>
    <w:rsid w:val="00146373"/>
    <w:rsid w:val="001507FF"/>
    <w:rsid w:val="00155063"/>
    <w:rsid w:val="00162245"/>
    <w:rsid w:val="00162EBB"/>
    <w:rsid w:val="00162ED9"/>
    <w:rsid w:val="00180DD0"/>
    <w:rsid w:val="00191262"/>
    <w:rsid w:val="001938B5"/>
    <w:rsid w:val="001A1E0D"/>
    <w:rsid w:val="001A43EC"/>
    <w:rsid w:val="001A4C21"/>
    <w:rsid w:val="001B08D0"/>
    <w:rsid w:val="001B1973"/>
    <w:rsid w:val="001B634C"/>
    <w:rsid w:val="001B6BBC"/>
    <w:rsid w:val="001E5ABB"/>
    <w:rsid w:val="001E6DDB"/>
    <w:rsid w:val="00202B5C"/>
    <w:rsid w:val="00202E35"/>
    <w:rsid w:val="00217E63"/>
    <w:rsid w:val="00221493"/>
    <w:rsid w:val="002216DF"/>
    <w:rsid w:val="00221820"/>
    <w:rsid w:val="00226760"/>
    <w:rsid w:val="00226A3F"/>
    <w:rsid w:val="00231E82"/>
    <w:rsid w:val="00232FAC"/>
    <w:rsid w:val="002341FF"/>
    <w:rsid w:val="002378F6"/>
    <w:rsid w:val="00240BF6"/>
    <w:rsid w:val="00242D20"/>
    <w:rsid w:val="00245BBD"/>
    <w:rsid w:val="00246AC4"/>
    <w:rsid w:val="00250619"/>
    <w:rsid w:val="00252296"/>
    <w:rsid w:val="00257E4B"/>
    <w:rsid w:val="00261B8D"/>
    <w:rsid w:val="00271DDA"/>
    <w:rsid w:val="00273C6F"/>
    <w:rsid w:val="00280D06"/>
    <w:rsid w:val="00281606"/>
    <w:rsid w:val="00287B6F"/>
    <w:rsid w:val="002A0B07"/>
    <w:rsid w:val="002A6676"/>
    <w:rsid w:val="002A6AC9"/>
    <w:rsid w:val="002B12D0"/>
    <w:rsid w:val="002B4181"/>
    <w:rsid w:val="002B76F4"/>
    <w:rsid w:val="002C057F"/>
    <w:rsid w:val="002C3C86"/>
    <w:rsid w:val="002C5640"/>
    <w:rsid w:val="002D370E"/>
    <w:rsid w:val="002D48D4"/>
    <w:rsid w:val="002E11E2"/>
    <w:rsid w:val="002E6E9C"/>
    <w:rsid w:val="002F3DC2"/>
    <w:rsid w:val="002F3ED4"/>
    <w:rsid w:val="002F5974"/>
    <w:rsid w:val="002F733D"/>
    <w:rsid w:val="00301FCF"/>
    <w:rsid w:val="003028D9"/>
    <w:rsid w:val="00310890"/>
    <w:rsid w:val="00310C83"/>
    <w:rsid w:val="00320C80"/>
    <w:rsid w:val="003234C0"/>
    <w:rsid w:val="00323B43"/>
    <w:rsid w:val="00325806"/>
    <w:rsid w:val="00326A42"/>
    <w:rsid w:val="00327A2C"/>
    <w:rsid w:val="00330BC1"/>
    <w:rsid w:val="00340B19"/>
    <w:rsid w:val="003468C3"/>
    <w:rsid w:val="00347941"/>
    <w:rsid w:val="00363C32"/>
    <w:rsid w:val="00363CC0"/>
    <w:rsid w:val="00365331"/>
    <w:rsid w:val="003704C0"/>
    <w:rsid w:val="00374FF9"/>
    <w:rsid w:val="003768EF"/>
    <w:rsid w:val="00383D44"/>
    <w:rsid w:val="003875C0"/>
    <w:rsid w:val="00392062"/>
    <w:rsid w:val="00395116"/>
    <w:rsid w:val="003A1934"/>
    <w:rsid w:val="003B1526"/>
    <w:rsid w:val="003B5537"/>
    <w:rsid w:val="003C05B8"/>
    <w:rsid w:val="003D0118"/>
    <w:rsid w:val="003D37D8"/>
    <w:rsid w:val="003D7DC4"/>
    <w:rsid w:val="00405784"/>
    <w:rsid w:val="0040656E"/>
    <w:rsid w:val="00410525"/>
    <w:rsid w:val="00423485"/>
    <w:rsid w:val="00426133"/>
    <w:rsid w:val="00434998"/>
    <w:rsid w:val="004358AB"/>
    <w:rsid w:val="00440680"/>
    <w:rsid w:val="00441AE7"/>
    <w:rsid w:val="0044571F"/>
    <w:rsid w:val="00446458"/>
    <w:rsid w:val="00452985"/>
    <w:rsid w:val="00455DCF"/>
    <w:rsid w:val="00465F31"/>
    <w:rsid w:val="00466AB1"/>
    <w:rsid w:val="00467F8E"/>
    <w:rsid w:val="00472F06"/>
    <w:rsid w:val="00474083"/>
    <w:rsid w:val="0047548F"/>
    <w:rsid w:val="00485085"/>
    <w:rsid w:val="00486AB5"/>
    <w:rsid w:val="004A7C43"/>
    <w:rsid w:val="004B0D7B"/>
    <w:rsid w:val="004B60AC"/>
    <w:rsid w:val="004D1ABF"/>
    <w:rsid w:val="004D67EA"/>
    <w:rsid w:val="004D6EEE"/>
    <w:rsid w:val="004E6D20"/>
    <w:rsid w:val="004F1361"/>
    <w:rsid w:val="004F59CB"/>
    <w:rsid w:val="00502C33"/>
    <w:rsid w:val="005055EA"/>
    <w:rsid w:val="005122C1"/>
    <w:rsid w:val="00512CDA"/>
    <w:rsid w:val="00512E27"/>
    <w:rsid w:val="00530164"/>
    <w:rsid w:val="0053230D"/>
    <w:rsid w:val="005424D2"/>
    <w:rsid w:val="00552097"/>
    <w:rsid w:val="00552D74"/>
    <w:rsid w:val="00556D4B"/>
    <w:rsid w:val="00561DCD"/>
    <w:rsid w:val="00562658"/>
    <w:rsid w:val="00564322"/>
    <w:rsid w:val="005710F6"/>
    <w:rsid w:val="00571219"/>
    <w:rsid w:val="00573328"/>
    <w:rsid w:val="00573C0F"/>
    <w:rsid w:val="00575761"/>
    <w:rsid w:val="00593EAA"/>
    <w:rsid w:val="0059758B"/>
    <w:rsid w:val="005C3DF9"/>
    <w:rsid w:val="005C4400"/>
    <w:rsid w:val="005C4D59"/>
    <w:rsid w:val="005D23BF"/>
    <w:rsid w:val="005F05EE"/>
    <w:rsid w:val="005F2114"/>
    <w:rsid w:val="005F3050"/>
    <w:rsid w:val="005F4C27"/>
    <w:rsid w:val="00617D76"/>
    <w:rsid w:val="00626603"/>
    <w:rsid w:val="0063397A"/>
    <w:rsid w:val="00665AFA"/>
    <w:rsid w:val="006876C2"/>
    <w:rsid w:val="006944E2"/>
    <w:rsid w:val="00697418"/>
    <w:rsid w:val="00697B16"/>
    <w:rsid w:val="006A3C98"/>
    <w:rsid w:val="006B0034"/>
    <w:rsid w:val="006C1406"/>
    <w:rsid w:val="006D19D6"/>
    <w:rsid w:val="006D5E60"/>
    <w:rsid w:val="006E70FF"/>
    <w:rsid w:val="006F653A"/>
    <w:rsid w:val="006F7938"/>
    <w:rsid w:val="006F7CFD"/>
    <w:rsid w:val="00707D92"/>
    <w:rsid w:val="00712CD8"/>
    <w:rsid w:val="00720E9D"/>
    <w:rsid w:val="007229B9"/>
    <w:rsid w:val="00725F7D"/>
    <w:rsid w:val="00735DA6"/>
    <w:rsid w:val="00740A8A"/>
    <w:rsid w:val="00747AAB"/>
    <w:rsid w:val="00757738"/>
    <w:rsid w:val="00757C73"/>
    <w:rsid w:val="0076447F"/>
    <w:rsid w:val="00767915"/>
    <w:rsid w:val="00776055"/>
    <w:rsid w:val="00783052"/>
    <w:rsid w:val="00786D94"/>
    <w:rsid w:val="0079033C"/>
    <w:rsid w:val="007910FA"/>
    <w:rsid w:val="00794CD9"/>
    <w:rsid w:val="0079657F"/>
    <w:rsid w:val="007971E1"/>
    <w:rsid w:val="007976BB"/>
    <w:rsid w:val="007B7AFB"/>
    <w:rsid w:val="007C10C3"/>
    <w:rsid w:val="007D5F3A"/>
    <w:rsid w:val="007D76BD"/>
    <w:rsid w:val="007F1844"/>
    <w:rsid w:val="007F5225"/>
    <w:rsid w:val="00802FAA"/>
    <w:rsid w:val="00803982"/>
    <w:rsid w:val="008145F0"/>
    <w:rsid w:val="008254A4"/>
    <w:rsid w:val="00825DF4"/>
    <w:rsid w:val="008319CF"/>
    <w:rsid w:val="00831DCB"/>
    <w:rsid w:val="00834D5D"/>
    <w:rsid w:val="008463C1"/>
    <w:rsid w:val="0084716F"/>
    <w:rsid w:val="00853281"/>
    <w:rsid w:val="0085792E"/>
    <w:rsid w:val="008666A5"/>
    <w:rsid w:val="00866ADA"/>
    <w:rsid w:val="00874D2F"/>
    <w:rsid w:val="00881BC2"/>
    <w:rsid w:val="00885A1E"/>
    <w:rsid w:val="0089718F"/>
    <w:rsid w:val="008A1C67"/>
    <w:rsid w:val="008A56F4"/>
    <w:rsid w:val="008A5D32"/>
    <w:rsid w:val="008B7726"/>
    <w:rsid w:val="008C2D88"/>
    <w:rsid w:val="008C3C9F"/>
    <w:rsid w:val="008C6DED"/>
    <w:rsid w:val="008D3400"/>
    <w:rsid w:val="008D796E"/>
    <w:rsid w:val="008E0DBB"/>
    <w:rsid w:val="008F0AEA"/>
    <w:rsid w:val="008F25FE"/>
    <w:rsid w:val="008F476F"/>
    <w:rsid w:val="008F49DE"/>
    <w:rsid w:val="009004BE"/>
    <w:rsid w:val="009164C8"/>
    <w:rsid w:val="009211CD"/>
    <w:rsid w:val="0092159B"/>
    <w:rsid w:val="00922493"/>
    <w:rsid w:val="00925E48"/>
    <w:rsid w:val="00930196"/>
    <w:rsid w:val="009343CA"/>
    <w:rsid w:val="00946E3E"/>
    <w:rsid w:val="0095335D"/>
    <w:rsid w:val="00957B1F"/>
    <w:rsid w:val="00960F44"/>
    <w:rsid w:val="00964641"/>
    <w:rsid w:val="00965D02"/>
    <w:rsid w:val="00982D20"/>
    <w:rsid w:val="009951AD"/>
    <w:rsid w:val="00995320"/>
    <w:rsid w:val="00995578"/>
    <w:rsid w:val="00997C7E"/>
    <w:rsid w:val="009A2F5C"/>
    <w:rsid w:val="009B083A"/>
    <w:rsid w:val="009B1A4B"/>
    <w:rsid w:val="009C07B6"/>
    <w:rsid w:val="009C61B3"/>
    <w:rsid w:val="009C6E50"/>
    <w:rsid w:val="009E4CA9"/>
    <w:rsid w:val="009F628E"/>
    <w:rsid w:val="00A02A2E"/>
    <w:rsid w:val="00A079ED"/>
    <w:rsid w:val="00A13DFB"/>
    <w:rsid w:val="00A168CA"/>
    <w:rsid w:val="00A21C7D"/>
    <w:rsid w:val="00A234C9"/>
    <w:rsid w:val="00A27CFA"/>
    <w:rsid w:val="00A3156F"/>
    <w:rsid w:val="00A31BC0"/>
    <w:rsid w:val="00A321BD"/>
    <w:rsid w:val="00A349BE"/>
    <w:rsid w:val="00A349D4"/>
    <w:rsid w:val="00A36DF9"/>
    <w:rsid w:val="00A4097B"/>
    <w:rsid w:val="00A5488A"/>
    <w:rsid w:val="00A54C04"/>
    <w:rsid w:val="00A551EE"/>
    <w:rsid w:val="00A56CF2"/>
    <w:rsid w:val="00A6184C"/>
    <w:rsid w:val="00A629ED"/>
    <w:rsid w:val="00A62D8C"/>
    <w:rsid w:val="00A71CA5"/>
    <w:rsid w:val="00A76FEA"/>
    <w:rsid w:val="00A77578"/>
    <w:rsid w:val="00A81148"/>
    <w:rsid w:val="00A822C8"/>
    <w:rsid w:val="00A83E9C"/>
    <w:rsid w:val="00A85F95"/>
    <w:rsid w:val="00A87842"/>
    <w:rsid w:val="00A91A4E"/>
    <w:rsid w:val="00A91E81"/>
    <w:rsid w:val="00A92B66"/>
    <w:rsid w:val="00AA5D9C"/>
    <w:rsid w:val="00AB3402"/>
    <w:rsid w:val="00AC03C1"/>
    <w:rsid w:val="00AC1D20"/>
    <w:rsid w:val="00AC342C"/>
    <w:rsid w:val="00AC520D"/>
    <w:rsid w:val="00AD44CA"/>
    <w:rsid w:val="00AE0F07"/>
    <w:rsid w:val="00AE597B"/>
    <w:rsid w:val="00AF19F1"/>
    <w:rsid w:val="00AF2441"/>
    <w:rsid w:val="00AF5412"/>
    <w:rsid w:val="00B05641"/>
    <w:rsid w:val="00B11829"/>
    <w:rsid w:val="00B17BC0"/>
    <w:rsid w:val="00B21DFF"/>
    <w:rsid w:val="00B416F6"/>
    <w:rsid w:val="00B41E88"/>
    <w:rsid w:val="00B47962"/>
    <w:rsid w:val="00B522AF"/>
    <w:rsid w:val="00B6005E"/>
    <w:rsid w:val="00B76741"/>
    <w:rsid w:val="00B76813"/>
    <w:rsid w:val="00B8411C"/>
    <w:rsid w:val="00B977DD"/>
    <w:rsid w:val="00BA48DE"/>
    <w:rsid w:val="00BB0695"/>
    <w:rsid w:val="00BC40F9"/>
    <w:rsid w:val="00BC469C"/>
    <w:rsid w:val="00BC6BA5"/>
    <w:rsid w:val="00BC6D34"/>
    <w:rsid w:val="00BD1A9E"/>
    <w:rsid w:val="00BD72B8"/>
    <w:rsid w:val="00BD7335"/>
    <w:rsid w:val="00BE0B16"/>
    <w:rsid w:val="00BE1143"/>
    <w:rsid w:val="00BE496F"/>
    <w:rsid w:val="00BE6869"/>
    <w:rsid w:val="00BF33FB"/>
    <w:rsid w:val="00C05473"/>
    <w:rsid w:val="00C07055"/>
    <w:rsid w:val="00C14D2B"/>
    <w:rsid w:val="00C155C0"/>
    <w:rsid w:val="00C23027"/>
    <w:rsid w:val="00C24281"/>
    <w:rsid w:val="00C2462B"/>
    <w:rsid w:val="00C249CF"/>
    <w:rsid w:val="00C2656D"/>
    <w:rsid w:val="00C32CB1"/>
    <w:rsid w:val="00C32D60"/>
    <w:rsid w:val="00C346FB"/>
    <w:rsid w:val="00C54657"/>
    <w:rsid w:val="00C61EBC"/>
    <w:rsid w:val="00C620CB"/>
    <w:rsid w:val="00C7422B"/>
    <w:rsid w:val="00C757E0"/>
    <w:rsid w:val="00C81459"/>
    <w:rsid w:val="00C85789"/>
    <w:rsid w:val="00C873A1"/>
    <w:rsid w:val="00C96B4A"/>
    <w:rsid w:val="00CA321F"/>
    <w:rsid w:val="00CA652D"/>
    <w:rsid w:val="00CB62E6"/>
    <w:rsid w:val="00CC010E"/>
    <w:rsid w:val="00CC1899"/>
    <w:rsid w:val="00CC3FA7"/>
    <w:rsid w:val="00CD10C4"/>
    <w:rsid w:val="00CE4706"/>
    <w:rsid w:val="00CE63A4"/>
    <w:rsid w:val="00CF07B1"/>
    <w:rsid w:val="00CF289E"/>
    <w:rsid w:val="00D03994"/>
    <w:rsid w:val="00D07C0E"/>
    <w:rsid w:val="00D13173"/>
    <w:rsid w:val="00D14DDB"/>
    <w:rsid w:val="00D262BB"/>
    <w:rsid w:val="00D302D5"/>
    <w:rsid w:val="00D31D50"/>
    <w:rsid w:val="00D35361"/>
    <w:rsid w:val="00D428F7"/>
    <w:rsid w:val="00D45A9D"/>
    <w:rsid w:val="00D55987"/>
    <w:rsid w:val="00D73C6B"/>
    <w:rsid w:val="00D838AD"/>
    <w:rsid w:val="00D86DF0"/>
    <w:rsid w:val="00D97CEB"/>
    <w:rsid w:val="00DA2AA0"/>
    <w:rsid w:val="00DB0124"/>
    <w:rsid w:val="00DB43EE"/>
    <w:rsid w:val="00DD0458"/>
    <w:rsid w:val="00DD0664"/>
    <w:rsid w:val="00DE510D"/>
    <w:rsid w:val="00DE5BC3"/>
    <w:rsid w:val="00DE7DB9"/>
    <w:rsid w:val="00DE7DC9"/>
    <w:rsid w:val="00DF3ABF"/>
    <w:rsid w:val="00DF53E5"/>
    <w:rsid w:val="00E14126"/>
    <w:rsid w:val="00E24233"/>
    <w:rsid w:val="00E260E5"/>
    <w:rsid w:val="00E31ACA"/>
    <w:rsid w:val="00E400EC"/>
    <w:rsid w:val="00E41E14"/>
    <w:rsid w:val="00E47467"/>
    <w:rsid w:val="00E560D7"/>
    <w:rsid w:val="00E64721"/>
    <w:rsid w:val="00E70AA9"/>
    <w:rsid w:val="00E72840"/>
    <w:rsid w:val="00E747D8"/>
    <w:rsid w:val="00E834BE"/>
    <w:rsid w:val="00E9157D"/>
    <w:rsid w:val="00E91C5E"/>
    <w:rsid w:val="00E94605"/>
    <w:rsid w:val="00E949CA"/>
    <w:rsid w:val="00EA1ED5"/>
    <w:rsid w:val="00EA46BA"/>
    <w:rsid w:val="00EA6EEB"/>
    <w:rsid w:val="00EA7ACA"/>
    <w:rsid w:val="00EB0AA2"/>
    <w:rsid w:val="00EB4794"/>
    <w:rsid w:val="00ED32DD"/>
    <w:rsid w:val="00EE7CB5"/>
    <w:rsid w:val="00EF251F"/>
    <w:rsid w:val="00EF2D75"/>
    <w:rsid w:val="00EF32A4"/>
    <w:rsid w:val="00EF6DF9"/>
    <w:rsid w:val="00F074FC"/>
    <w:rsid w:val="00F1243F"/>
    <w:rsid w:val="00F146A5"/>
    <w:rsid w:val="00F15764"/>
    <w:rsid w:val="00F20618"/>
    <w:rsid w:val="00F20985"/>
    <w:rsid w:val="00F217D9"/>
    <w:rsid w:val="00F24B50"/>
    <w:rsid w:val="00F41774"/>
    <w:rsid w:val="00F44590"/>
    <w:rsid w:val="00F4466D"/>
    <w:rsid w:val="00F4622B"/>
    <w:rsid w:val="00F46B42"/>
    <w:rsid w:val="00F51A80"/>
    <w:rsid w:val="00F56389"/>
    <w:rsid w:val="00F70ACC"/>
    <w:rsid w:val="00F75CAB"/>
    <w:rsid w:val="00F8101C"/>
    <w:rsid w:val="00F82389"/>
    <w:rsid w:val="00F8427B"/>
    <w:rsid w:val="00F909BB"/>
    <w:rsid w:val="00F96D19"/>
    <w:rsid w:val="00F96E5B"/>
    <w:rsid w:val="00FA590C"/>
    <w:rsid w:val="00FA5ED2"/>
    <w:rsid w:val="00FB6C97"/>
    <w:rsid w:val="00FC6927"/>
    <w:rsid w:val="01076B54"/>
    <w:rsid w:val="024A1414"/>
    <w:rsid w:val="031E42BA"/>
    <w:rsid w:val="05032168"/>
    <w:rsid w:val="057A02C0"/>
    <w:rsid w:val="064F5DAB"/>
    <w:rsid w:val="09AE32B4"/>
    <w:rsid w:val="0BAD28EB"/>
    <w:rsid w:val="0C81341A"/>
    <w:rsid w:val="0D4E176A"/>
    <w:rsid w:val="0F7F0592"/>
    <w:rsid w:val="109B31D4"/>
    <w:rsid w:val="10B45DA7"/>
    <w:rsid w:val="12AA55BA"/>
    <w:rsid w:val="135106FC"/>
    <w:rsid w:val="14BE4978"/>
    <w:rsid w:val="170B1F3D"/>
    <w:rsid w:val="18E75081"/>
    <w:rsid w:val="19AC7212"/>
    <w:rsid w:val="1A2D5EC2"/>
    <w:rsid w:val="1BAD4DDE"/>
    <w:rsid w:val="1C333C8D"/>
    <w:rsid w:val="1CAB7999"/>
    <w:rsid w:val="1CE25BE8"/>
    <w:rsid w:val="1EC63F59"/>
    <w:rsid w:val="1EF216B1"/>
    <w:rsid w:val="21C50FA4"/>
    <w:rsid w:val="2506738F"/>
    <w:rsid w:val="258E10E6"/>
    <w:rsid w:val="272E0BC5"/>
    <w:rsid w:val="2A8D0A2A"/>
    <w:rsid w:val="2DB30B02"/>
    <w:rsid w:val="2DD1077D"/>
    <w:rsid w:val="2EFA6FA5"/>
    <w:rsid w:val="2F4003B4"/>
    <w:rsid w:val="32F81332"/>
    <w:rsid w:val="33533387"/>
    <w:rsid w:val="335D066C"/>
    <w:rsid w:val="338E4244"/>
    <w:rsid w:val="35062EBF"/>
    <w:rsid w:val="350C015A"/>
    <w:rsid w:val="359B763E"/>
    <w:rsid w:val="35C378E0"/>
    <w:rsid w:val="35C70CB3"/>
    <w:rsid w:val="35D9269F"/>
    <w:rsid w:val="35FD0648"/>
    <w:rsid w:val="384F51D2"/>
    <w:rsid w:val="38D271F5"/>
    <w:rsid w:val="3AE2635B"/>
    <w:rsid w:val="3B833A68"/>
    <w:rsid w:val="3CED3B2A"/>
    <w:rsid w:val="3D7B51E8"/>
    <w:rsid w:val="3E384CA0"/>
    <w:rsid w:val="3EDA1718"/>
    <w:rsid w:val="3F80374E"/>
    <w:rsid w:val="3FE62CFD"/>
    <w:rsid w:val="3FF4193A"/>
    <w:rsid w:val="40025724"/>
    <w:rsid w:val="4019534A"/>
    <w:rsid w:val="403A6343"/>
    <w:rsid w:val="417F2AC6"/>
    <w:rsid w:val="44546938"/>
    <w:rsid w:val="45A11E5D"/>
    <w:rsid w:val="46033B26"/>
    <w:rsid w:val="461A170D"/>
    <w:rsid w:val="46954170"/>
    <w:rsid w:val="47C4085E"/>
    <w:rsid w:val="48CC21B1"/>
    <w:rsid w:val="49516B74"/>
    <w:rsid w:val="4A3742D4"/>
    <w:rsid w:val="4A6A4218"/>
    <w:rsid w:val="4A884819"/>
    <w:rsid w:val="4B017328"/>
    <w:rsid w:val="4C2F24CA"/>
    <w:rsid w:val="4C96562B"/>
    <w:rsid w:val="4D266231"/>
    <w:rsid w:val="4DB9708D"/>
    <w:rsid w:val="4E2F4CA2"/>
    <w:rsid w:val="4FBF36B1"/>
    <w:rsid w:val="51E47153"/>
    <w:rsid w:val="52D8013A"/>
    <w:rsid w:val="530F14F1"/>
    <w:rsid w:val="55351A2A"/>
    <w:rsid w:val="571147C9"/>
    <w:rsid w:val="57412286"/>
    <w:rsid w:val="574A2B6A"/>
    <w:rsid w:val="57DB78DC"/>
    <w:rsid w:val="57EC2CA4"/>
    <w:rsid w:val="5BC20470"/>
    <w:rsid w:val="5CA042F1"/>
    <w:rsid w:val="5E1864DE"/>
    <w:rsid w:val="605F4943"/>
    <w:rsid w:val="61A00B26"/>
    <w:rsid w:val="62B85C90"/>
    <w:rsid w:val="62C54B8F"/>
    <w:rsid w:val="641370C9"/>
    <w:rsid w:val="64516BAE"/>
    <w:rsid w:val="66B90251"/>
    <w:rsid w:val="66E57FFC"/>
    <w:rsid w:val="67A93E11"/>
    <w:rsid w:val="687F470A"/>
    <w:rsid w:val="6A392024"/>
    <w:rsid w:val="6AC97C03"/>
    <w:rsid w:val="6C041E08"/>
    <w:rsid w:val="6CB7652A"/>
    <w:rsid w:val="6D5A097A"/>
    <w:rsid w:val="6E3B260E"/>
    <w:rsid w:val="711E14E5"/>
    <w:rsid w:val="71C54209"/>
    <w:rsid w:val="75BE7D2F"/>
    <w:rsid w:val="78940D79"/>
    <w:rsid w:val="794E2D45"/>
    <w:rsid w:val="7B8D66DD"/>
    <w:rsid w:val="7C66148C"/>
    <w:rsid w:val="7C7817C7"/>
    <w:rsid w:val="7CE21587"/>
    <w:rsid w:val="7D231C60"/>
    <w:rsid w:val="7DA37909"/>
    <w:rsid w:val="7E0636C2"/>
    <w:rsid w:val="7F1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iPriority="99" w:semiHidden="0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99"/>
    <w:pPr>
      <w:keepNext/>
      <w:keepLines/>
      <w:spacing w:before="260" w:after="260" w:line="416" w:lineRule="auto"/>
      <w:outlineLvl w:val="2"/>
    </w:pPr>
    <w:rPr>
      <w:rFonts w:ascii="Cambria" w:hAnsi="Cambria" w:eastAsia="宋体"/>
      <w:b/>
      <w:bCs/>
      <w:sz w:val="32"/>
      <w:szCs w:val="32"/>
    </w:rPr>
  </w:style>
  <w:style w:type="paragraph" w:styleId="5">
    <w:name w:val="heading 4"/>
    <w:basedOn w:val="1"/>
    <w:next w:val="1"/>
    <w:link w:val="29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Cs/>
      <w:sz w:val="32"/>
      <w:szCs w:val="28"/>
    </w:rPr>
  </w:style>
  <w:style w:type="paragraph" w:styleId="6">
    <w:name w:val="heading 5"/>
    <w:basedOn w:val="1"/>
    <w:next w:val="1"/>
    <w:link w:val="30"/>
    <w:qFormat/>
    <w:uiPriority w:val="99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Calibri" w:hAnsi="Calibri" w:eastAsia="黑体"/>
      <w:b/>
      <w:bCs/>
      <w:kern w:val="2"/>
      <w:sz w:val="21"/>
      <w:szCs w:val="28"/>
    </w:rPr>
  </w:style>
  <w:style w:type="character" w:default="1" w:styleId="18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32"/>
    <w:semiHidden/>
    <w:qFormat/>
    <w:uiPriority w:val="99"/>
    <w:rPr>
      <w:b/>
      <w:bCs/>
    </w:rPr>
  </w:style>
  <w:style w:type="paragraph" w:styleId="8">
    <w:name w:val="annotation text"/>
    <w:basedOn w:val="1"/>
    <w:link w:val="31"/>
    <w:semiHidden/>
    <w:qFormat/>
    <w:uiPriority w:val="99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9">
    <w:name w:val="Document Map"/>
    <w:basedOn w:val="1"/>
    <w:link w:val="33"/>
    <w:semiHidden/>
    <w:qFormat/>
    <w:uiPriority w:val="99"/>
    <w:pPr>
      <w:widowControl w:val="0"/>
      <w:adjustRightInd/>
      <w:snapToGrid/>
      <w:spacing w:after="0"/>
      <w:jc w:val="both"/>
    </w:pPr>
    <w:rPr>
      <w:rFonts w:ascii="宋体" w:hAnsi="Calibri" w:eastAsia="宋体"/>
      <w:kern w:val="2"/>
      <w:sz w:val="18"/>
      <w:szCs w:val="18"/>
    </w:rPr>
  </w:style>
  <w:style w:type="paragraph" w:styleId="10">
    <w:name w:val="toc 3"/>
    <w:basedOn w:val="1"/>
    <w:next w:val="1"/>
    <w:qFormat/>
    <w:uiPriority w:val="99"/>
    <w:pPr>
      <w:ind w:left="840" w:leftChars="400"/>
    </w:pPr>
  </w:style>
  <w:style w:type="paragraph" w:styleId="11">
    <w:name w:val="Date"/>
    <w:basedOn w:val="1"/>
    <w:next w:val="1"/>
    <w:link w:val="34"/>
    <w:semiHidden/>
    <w:qFormat/>
    <w:uiPriority w:val="99"/>
    <w:pPr>
      <w:ind w:left="100" w:leftChars="2500"/>
    </w:pPr>
  </w:style>
  <w:style w:type="paragraph" w:styleId="12">
    <w:name w:val="Balloon Text"/>
    <w:basedOn w:val="1"/>
    <w:link w:val="35"/>
    <w:semiHidden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宋体"/>
      <w:kern w:val="2"/>
      <w:sz w:val="18"/>
      <w:szCs w:val="18"/>
    </w:rPr>
  </w:style>
  <w:style w:type="paragraph" w:styleId="13">
    <w:name w:val="footer"/>
    <w:basedOn w:val="1"/>
    <w:link w:val="3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4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4"/>
    <w:basedOn w:val="1"/>
    <w:next w:val="1"/>
    <w:qFormat/>
    <w:uiPriority w:val="99"/>
    <w:pPr>
      <w:ind w:left="1260" w:leftChars="600"/>
    </w:pPr>
  </w:style>
  <w:style w:type="paragraph" w:styleId="16">
    <w:name w:val="toc 2"/>
    <w:basedOn w:val="1"/>
    <w:next w:val="1"/>
    <w:qFormat/>
    <w:uiPriority w:val="99"/>
    <w:pPr>
      <w:ind w:left="420" w:leftChars="200"/>
    </w:pPr>
  </w:style>
  <w:style w:type="paragraph" w:styleId="17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9">
    <w:name w:val="page number"/>
    <w:basedOn w:val="18"/>
    <w:qFormat/>
    <w:uiPriority w:val="99"/>
    <w:rPr>
      <w:rFonts w:cs="Times New Roman"/>
    </w:rPr>
  </w:style>
  <w:style w:type="character" w:styleId="20">
    <w:name w:val="FollowedHyperlink"/>
    <w:basedOn w:val="18"/>
    <w:semiHidden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styleId="22">
    <w:name w:val="HTML Code"/>
    <w:basedOn w:val="18"/>
    <w:unhideWhenUsed/>
    <w:qFormat/>
    <w:locked/>
    <w:uiPriority w:val="99"/>
    <w:rPr>
      <w:rFonts w:ascii="Courier New" w:hAnsi="Courier New"/>
      <w:sz w:val="20"/>
    </w:rPr>
  </w:style>
  <w:style w:type="character" w:styleId="23">
    <w:name w:val="annotation reference"/>
    <w:basedOn w:val="18"/>
    <w:semiHidden/>
    <w:qFormat/>
    <w:uiPriority w:val="99"/>
    <w:rPr>
      <w:rFonts w:cs="Times New Roman"/>
      <w:sz w:val="21"/>
      <w:szCs w:val="21"/>
    </w:rPr>
  </w:style>
  <w:style w:type="table" w:styleId="25">
    <w:name w:val="Table Grid"/>
    <w:basedOn w:val="2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basedOn w:val="18"/>
    <w:link w:val="2"/>
    <w:qFormat/>
    <w:locked/>
    <w:uiPriority w:val="99"/>
    <w:rPr>
      <w:rFonts w:ascii="Tahoma" w:hAnsi="Tahoma" w:cs="Times New Roman"/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8">
    <w:name w:val="标题 3 Char"/>
    <w:basedOn w:val="18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标题 4 Char"/>
    <w:basedOn w:val="18"/>
    <w:link w:val="5"/>
    <w:qFormat/>
    <w:locked/>
    <w:uiPriority w:val="99"/>
    <w:rPr>
      <w:rFonts w:ascii="Cambria" w:hAnsi="Cambria" w:eastAsia="宋体" w:cs="Times New Roman"/>
      <w:bCs/>
      <w:sz w:val="28"/>
      <w:szCs w:val="28"/>
    </w:rPr>
  </w:style>
  <w:style w:type="character" w:customStyle="1" w:styleId="30">
    <w:name w:val="标题 5 Char"/>
    <w:basedOn w:val="18"/>
    <w:link w:val="6"/>
    <w:qFormat/>
    <w:locked/>
    <w:uiPriority w:val="99"/>
    <w:rPr>
      <w:rFonts w:ascii="Calibri" w:hAnsi="Calibri" w:eastAsia="黑体" w:cs="Times New Roman"/>
      <w:b/>
      <w:bCs/>
      <w:kern w:val="2"/>
      <w:sz w:val="28"/>
      <w:szCs w:val="28"/>
    </w:rPr>
  </w:style>
  <w:style w:type="character" w:customStyle="1" w:styleId="31">
    <w:name w:val="批注文字 Char"/>
    <w:basedOn w:val="18"/>
    <w:link w:val="8"/>
    <w:semiHidden/>
    <w:qFormat/>
    <w:locked/>
    <w:uiPriority w:val="99"/>
    <w:rPr>
      <w:rFonts w:ascii="Calibri" w:hAnsi="Calibri" w:eastAsia="宋体" w:cs="Times New Roman"/>
      <w:kern w:val="2"/>
      <w:sz w:val="21"/>
    </w:rPr>
  </w:style>
  <w:style w:type="character" w:customStyle="1" w:styleId="32">
    <w:name w:val="批注主题 Char"/>
    <w:basedOn w:val="31"/>
    <w:link w:val="7"/>
    <w:semiHidden/>
    <w:qFormat/>
    <w:locked/>
    <w:uiPriority w:val="99"/>
    <w:rPr>
      <w:b/>
      <w:bCs/>
    </w:rPr>
  </w:style>
  <w:style w:type="character" w:customStyle="1" w:styleId="33">
    <w:name w:val="文档结构图 Char"/>
    <w:basedOn w:val="18"/>
    <w:link w:val="9"/>
    <w:semiHidden/>
    <w:qFormat/>
    <w:locked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4">
    <w:name w:val="日期 Char"/>
    <w:basedOn w:val="18"/>
    <w:link w:val="11"/>
    <w:semiHidden/>
    <w:qFormat/>
    <w:locked/>
    <w:uiPriority w:val="99"/>
    <w:rPr>
      <w:rFonts w:ascii="Tahoma" w:hAnsi="Tahoma" w:cs="Times New Roman"/>
    </w:rPr>
  </w:style>
  <w:style w:type="character" w:customStyle="1" w:styleId="35">
    <w:name w:val="批注框文本 Char"/>
    <w:basedOn w:val="18"/>
    <w:link w:val="1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6">
    <w:name w:val="页脚 Char"/>
    <w:basedOn w:val="18"/>
    <w:link w:val="1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37">
    <w:name w:val="页眉 Char"/>
    <w:basedOn w:val="18"/>
    <w:link w:val="14"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38">
    <w:name w:val="No Spacing1"/>
    <w:link w:val="43"/>
    <w:qFormat/>
    <w:uiPriority w:val="99"/>
    <w:pPr>
      <w:adjustRightInd w:val="0"/>
      <w:snapToGrid w:val="0"/>
    </w:pPr>
    <w:rPr>
      <w:rFonts w:ascii="Tahoma" w:hAnsi="Tahoma" w:eastAsia="宋体" w:cs="Times New Roman"/>
      <w:sz w:val="22"/>
      <w:lang w:val="en-US" w:eastAsia="zh-CN" w:bidi="ar-SA"/>
    </w:rPr>
  </w:style>
  <w:style w:type="paragraph" w:customStyle="1" w:styleId="39">
    <w:name w:val="[Normal]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41">
    <w:name w:val="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42">
    <w:name w:val="标题5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b/>
      <w:kern w:val="2"/>
      <w:sz w:val="24"/>
      <w:szCs w:val="24"/>
    </w:rPr>
  </w:style>
  <w:style w:type="character" w:customStyle="1" w:styleId="43">
    <w:name w:val="No Spacing Char"/>
    <w:link w:val="38"/>
    <w:qFormat/>
    <w:locked/>
    <w:uiPriority w:val="99"/>
    <w:rPr>
      <w:rFonts w:ascii="Tahoma" w:hAnsi="Tahoma"/>
      <w:sz w:val="22"/>
      <w:lang w:val="en-US" w:eastAsia="zh-CN" w:bidi="ar-SA"/>
    </w:rPr>
  </w:style>
  <w:style w:type="paragraph" w:customStyle="1" w:styleId="44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8450F-3EDC-481A-9351-95367B489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1774</Words>
  <Characters>10116</Characters>
  <Lines>84</Lines>
  <Paragraphs>23</Paragraphs>
  <ScaleCrop>false</ScaleCrop>
  <LinksUpToDate>false</LinksUpToDate>
  <CharactersWithSpaces>11867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竺嵘</dc:creator>
  <cp:lastModifiedBy>汤宝春</cp:lastModifiedBy>
  <cp:lastPrinted>2017-11-10T02:46:00Z</cp:lastPrinted>
  <dcterms:modified xsi:type="dcterms:W3CDTF">2018-07-11T07:24:43Z</dcterms:modified>
  <dc:title>浙江省体育训练基地管理办法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