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ind w:right="0" w:rightChars="0"/>
        <w:jc w:val="center"/>
        <w:textAlignment w:val="auto"/>
        <w:outlineLvl w:val="9"/>
        <w:rPr>
          <w:rStyle w:val="4"/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Style w:val="4"/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决定</w:t>
      </w:r>
      <w:r>
        <w:rPr>
          <w:rStyle w:val="4"/>
          <w:rFonts w:hint="default" w:ascii="Times New Roman" w:hAnsi="Times New Roman" w:eastAsia="方正小标宋简体" w:cs="Times New Roman"/>
          <w:sz w:val="44"/>
          <w:szCs w:val="44"/>
        </w:rPr>
        <w:t>废止的</w:t>
      </w:r>
      <w:r>
        <w:rPr>
          <w:rStyle w:val="4"/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行政</w:t>
      </w:r>
      <w:r>
        <w:rPr>
          <w:rStyle w:val="4"/>
          <w:rFonts w:hint="default" w:ascii="Times New Roman" w:hAnsi="Times New Roman" w:eastAsia="方正小标宋简体" w:cs="Times New Roman"/>
          <w:sz w:val="44"/>
          <w:szCs w:val="44"/>
        </w:rPr>
        <w:t>规范性文件目录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908"/>
        <w:gridCol w:w="6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文号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文件名称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浙体群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〔2004〕133号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关于下发《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浙江省农村体育工作实施意见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》的通知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浙体群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〔2011〕162号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浙江省体育局关于印发《浙江省老年体育活动中心（俱乐部）建设实施方案》的通知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浙体经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〔2014〕122号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浙江省体育局关于下发《关于加强社会体育指导员培训（专款使用）管理若干事项规定（试行）》的通知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浙体青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〔2015〕289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浙江省体育局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关于印发《浙江省青少年户外体育活动营地创建办法》的通知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浙体政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〔2015〕290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浙江省体育局关于修订下发《浙江省体育行政处罚自由裁量权适用规则》的通知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浙体青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〔2015〕292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浙江省体育局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关于印发《浙江省青少年体育俱乐部创建办法》的通知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浙体政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〔2015〕379号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浙江省体育局关于对《浙江省体育行政处罚自由裁量权适用规则》内容进行部分修改的通知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浙体群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〔2015〕387号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浙江省体育局关于印发《浙江省省级乡村体育俱乐部建设实施方案》的通知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33B9"/>
    <w:rsid w:val="199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11"/>
    <w:basedOn w:val="3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2023-04-06T08:36:00Z</dcterms:created>
  <dc:creator>001</dc:creator>
  <cp:lastModifiedBy>001</cp:lastModifiedBy>
  <dcterms:modified xsi:type="dcterms:W3CDTF">2023-04-06T08:36:53Z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57D21B126D624EF19FB05BBC5F4188B9</vt:lpwstr>
  </property>
</Properties>
</file>